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40" w:rsidRPr="00585ADF" w:rsidRDefault="00EF5540" w:rsidP="00952130">
      <w:pPr>
        <w:rPr>
          <w:sz w:val="24"/>
        </w:rPr>
      </w:pPr>
      <w:r w:rsidRPr="00434009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pt;height:54pt;visibility:visible">
            <v:imagedata r:id="rId5" o:title="" croptop="24045f" cropbottom="20965f" cropleft="20192f" cropright="26745f"/>
          </v:shape>
        </w:pict>
      </w:r>
    </w:p>
    <w:p w:rsidR="00EF5540" w:rsidRPr="00585ADF" w:rsidRDefault="00EF5540" w:rsidP="00952130">
      <w:pPr>
        <w:rPr>
          <w:b/>
          <w:spacing w:val="60"/>
          <w:sz w:val="24"/>
        </w:rPr>
      </w:pPr>
    </w:p>
    <w:p w:rsidR="00EF5540" w:rsidRDefault="00EF5540" w:rsidP="00952130">
      <w:pPr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 № 24</w:t>
      </w:r>
    </w:p>
    <w:p w:rsidR="00EF5540" w:rsidRDefault="00EF5540" w:rsidP="00952130">
      <w:pPr>
        <w:pBdr>
          <w:bottom w:val="single" w:sz="4" w:space="1" w:color="auto"/>
        </w:pBdr>
        <w:rPr>
          <w:b/>
          <w:color w:val="000000"/>
          <w:spacing w:val="60"/>
        </w:rPr>
      </w:pPr>
      <w:r>
        <w:rPr>
          <w:b/>
          <w:noProof/>
          <w:color w:val="000000"/>
        </w:rPr>
        <w:t>САНКТ-ПЕТЕРБУРГ</w:t>
      </w:r>
    </w:p>
    <w:p w:rsidR="00EF5540" w:rsidRPr="00585ADF" w:rsidRDefault="00EF5540" w:rsidP="009A64FD">
      <w:pPr>
        <w:pStyle w:val="Heading1"/>
        <w:rPr>
          <w:sz w:val="24"/>
          <w:szCs w:val="24"/>
        </w:rPr>
      </w:pPr>
    </w:p>
    <w:p w:rsidR="00EF5540" w:rsidRPr="00952130" w:rsidRDefault="00EF5540" w:rsidP="009A64FD">
      <w:pPr>
        <w:pStyle w:val="Heading6"/>
        <w:rPr>
          <w:caps/>
          <w:sz w:val="16"/>
          <w:szCs w:val="16"/>
        </w:rPr>
      </w:pPr>
    </w:p>
    <w:p w:rsidR="00EF5540" w:rsidRPr="00EB7636" w:rsidRDefault="00EF5540" w:rsidP="009A64FD">
      <w:pPr>
        <w:pStyle w:val="Heading6"/>
        <w:rPr>
          <w:caps/>
          <w:sz w:val="28"/>
          <w:szCs w:val="28"/>
        </w:rPr>
      </w:pPr>
      <w:r w:rsidRPr="00EB7636">
        <w:rPr>
          <w:caps/>
          <w:sz w:val="28"/>
          <w:szCs w:val="28"/>
        </w:rPr>
        <w:t>РЕШЕНИЕ</w:t>
      </w:r>
    </w:p>
    <w:tbl>
      <w:tblPr>
        <w:tblW w:w="19117" w:type="dxa"/>
        <w:tblLook w:val="00A0"/>
      </w:tblPr>
      <w:tblGrid>
        <w:gridCol w:w="4773"/>
        <w:gridCol w:w="4773"/>
        <w:gridCol w:w="4773"/>
        <w:gridCol w:w="4798"/>
      </w:tblGrid>
      <w:tr w:rsidR="00EF5540" w:rsidRPr="00F25773" w:rsidTr="00487E58">
        <w:tc>
          <w:tcPr>
            <w:tcW w:w="4773" w:type="dxa"/>
          </w:tcPr>
          <w:p w:rsidR="00EF5540" w:rsidRPr="00F25773" w:rsidRDefault="00EF5540" w:rsidP="008C55E9">
            <w:pPr>
              <w:spacing w:line="276" w:lineRule="auto"/>
              <w:jc w:val="both"/>
              <w:rPr>
                <w:b/>
                <w:szCs w:val="28"/>
              </w:rPr>
            </w:pPr>
            <w:r w:rsidRPr="00F25773">
              <w:rPr>
                <w:b/>
                <w:bCs/>
                <w:szCs w:val="28"/>
              </w:rPr>
              <w:br/>
            </w:r>
            <w:r w:rsidRPr="00F25773">
              <w:rPr>
                <w:b/>
                <w:szCs w:val="28"/>
              </w:rPr>
              <w:t>22 декабря 2017 года</w:t>
            </w:r>
          </w:p>
        </w:tc>
        <w:tc>
          <w:tcPr>
            <w:tcW w:w="4773" w:type="dxa"/>
          </w:tcPr>
          <w:p w:rsidR="00EF5540" w:rsidRPr="00F25773" w:rsidRDefault="00EF5540" w:rsidP="00487E58">
            <w:pPr>
              <w:spacing w:line="276" w:lineRule="auto"/>
              <w:jc w:val="right"/>
              <w:rPr>
                <w:b/>
                <w:szCs w:val="28"/>
              </w:rPr>
            </w:pPr>
            <w:r w:rsidRPr="00F25773">
              <w:rPr>
                <w:b/>
                <w:szCs w:val="28"/>
              </w:rPr>
              <w:t xml:space="preserve">     </w:t>
            </w:r>
          </w:p>
          <w:p w:rsidR="00EF5540" w:rsidRPr="00F25773" w:rsidRDefault="00EF5540" w:rsidP="008C55E9">
            <w:pPr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F25773">
              <w:rPr>
                <w:b/>
                <w:szCs w:val="28"/>
              </w:rPr>
              <w:t xml:space="preserve">  № 30-2</w:t>
            </w:r>
          </w:p>
        </w:tc>
        <w:tc>
          <w:tcPr>
            <w:tcW w:w="4773" w:type="dxa"/>
          </w:tcPr>
          <w:p w:rsidR="00EF5540" w:rsidRPr="00F25773" w:rsidRDefault="00EF5540" w:rsidP="005C39A5">
            <w:pPr>
              <w:widowControl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798" w:type="dxa"/>
          </w:tcPr>
          <w:p w:rsidR="00EF5540" w:rsidRPr="00F25773" w:rsidRDefault="00EF5540" w:rsidP="00487E58">
            <w:pPr>
              <w:pageBreakBefore/>
              <w:spacing w:line="276" w:lineRule="auto"/>
              <w:rPr>
                <w:b/>
                <w:szCs w:val="28"/>
              </w:rPr>
            </w:pPr>
          </w:p>
          <w:p w:rsidR="00EF5540" w:rsidRPr="00F25773" w:rsidRDefault="00EF5540" w:rsidP="00487E58">
            <w:pPr>
              <w:widowControl w:val="0"/>
              <w:spacing w:line="276" w:lineRule="auto"/>
              <w:rPr>
                <w:b/>
                <w:bCs/>
                <w:szCs w:val="28"/>
              </w:rPr>
            </w:pPr>
            <w:r w:rsidRPr="00F25773">
              <w:rPr>
                <w:b/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773">
                <w:rPr>
                  <w:b/>
                  <w:szCs w:val="28"/>
                </w:rPr>
                <w:t>2012 г</w:t>
              </w:r>
            </w:smartTag>
            <w:r w:rsidRPr="00F25773">
              <w:rPr>
                <w:b/>
                <w:szCs w:val="28"/>
              </w:rPr>
              <w:t>. № ___</w:t>
            </w:r>
          </w:p>
        </w:tc>
      </w:tr>
    </w:tbl>
    <w:p w:rsidR="00EF5540" w:rsidRDefault="00EF5540" w:rsidP="00BD4850">
      <w:pPr>
        <w:pStyle w:val="BodyTextIndent3"/>
        <w:spacing w:line="240" w:lineRule="auto"/>
        <w:ind w:firstLine="0"/>
        <w:jc w:val="center"/>
        <w:rPr>
          <w:b/>
          <w:szCs w:val="28"/>
          <w:lang w:eastAsia="en-US"/>
        </w:rPr>
      </w:pPr>
      <w:r w:rsidRPr="009E5729">
        <w:rPr>
          <w:b/>
          <w:szCs w:val="28"/>
          <w:lang w:eastAsia="en-US"/>
        </w:rPr>
        <w:t>О рабочей группе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Федерации, иных обращений о нарушении закона</w:t>
      </w:r>
      <w:r>
        <w:rPr>
          <w:b/>
          <w:szCs w:val="28"/>
          <w:lang w:eastAsia="en-US"/>
        </w:rPr>
        <w:t xml:space="preserve"> при проведении выборов Президента Российской Федерации</w:t>
      </w:r>
    </w:p>
    <w:p w:rsidR="00EF5540" w:rsidRDefault="00EF5540" w:rsidP="00BD4850">
      <w:pPr>
        <w:pStyle w:val="BodyTextIndent3"/>
        <w:spacing w:line="240" w:lineRule="auto"/>
        <w:ind w:firstLine="0"/>
        <w:jc w:val="center"/>
        <w:rPr>
          <w:b/>
        </w:rPr>
      </w:pPr>
    </w:p>
    <w:p w:rsidR="00EF5540" w:rsidRPr="00A45F37" w:rsidRDefault="00EF5540" w:rsidP="008C0870">
      <w:pPr>
        <w:pStyle w:val="BodyTextIndent3"/>
        <w:spacing w:line="240" w:lineRule="auto"/>
        <w:ind w:firstLine="0"/>
        <w:jc w:val="center"/>
        <w:rPr>
          <w:b/>
        </w:rPr>
      </w:pPr>
    </w:p>
    <w:p w:rsidR="00EF5540" w:rsidRDefault="00EF5540" w:rsidP="00F25773">
      <w:pPr>
        <w:ind w:firstLine="709"/>
        <w:jc w:val="both"/>
        <w:rPr>
          <w:szCs w:val="28"/>
        </w:rPr>
      </w:pPr>
      <w:r w:rsidRPr="00C37F5C">
        <w:rPr>
          <w:rFonts w:eastAsia="MS Mincho"/>
          <w:szCs w:val="28"/>
        </w:rPr>
        <w:t>В целях реализации полномочий Территориа</w:t>
      </w:r>
      <w:r>
        <w:rPr>
          <w:rFonts w:eastAsia="MS Mincho"/>
          <w:szCs w:val="28"/>
        </w:rPr>
        <w:t>льной избирательной комиссии № 24</w:t>
      </w:r>
      <w:r w:rsidRPr="00C37F5C">
        <w:rPr>
          <w:rFonts w:eastAsia="MS Mincho"/>
          <w:szCs w:val="28"/>
        </w:rPr>
        <w:t xml:space="preserve"> по контролю за соблюдением избирательных прав и права </w:t>
      </w:r>
      <w:r>
        <w:rPr>
          <w:rFonts w:eastAsia="MS Mincho"/>
          <w:szCs w:val="28"/>
        </w:rPr>
        <w:br/>
      </w:r>
      <w:r w:rsidRPr="00C37F5C">
        <w:rPr>
          <w:rFonts w:eastAsia="MS Mincho"/>
          <w:szCs w:val="28"/>
        </w:rPr>
        <w:t>на участие в референдуме граждан Росс</w:t>
      </w:r>
      <w:r>
        <w:rPr>
          <w:rFonts w:eastAsia="MS Mincho"/>
          <w:szCs w:val="28"/>
        </w:rPr>
        <w:t xml:space="preserve">ийской Федерации, установленных </w:t>
      </w:r>
      <w:r w:rsidRPr="00C37F5C">
        <w:rPr>
          <w:rFonts w:eastAsia="MS Mincho"/>
          <w:szCs w:val="28"/>
        </w:rPr>
        <w:t>пунктом 9 статьи 26</w:t>
      </w:r>
      <w:r>
        <w:rPr>
          <w:rFonts w:eastAsia="MS Mincho"/>
          <w:szCs w:val="28"/>
        </w:rPr>
        <w:t xml:space="preserve"> </w:t>
      </w:r>
      <w:r w:rsidRPr="00C37F5C">
        <w:rPr>
          <w:rFonts w:eastAsia="MS Mincho"/>
          <w:szCs w:val="28"/>
        </w:rPr>
        <w:t>и</w:t>
      </w:r>
      <w:r>
        <w:rPr>
          <w:rFonts w:eastAsia="MS Mincho"/>
          <w:szCs w:val="28"/>
        </w:rPr>
        <w:t xml:space="preserve"> </w:t>
      </w:r>
      <w:r w:rsidRPr="00C37F5C">
        <w:rPr>
          <w:rFonts w:eastAsia="MS Mincho"/>
          <w:szCs w:val="28"/>
        </w:rPr>
        <w:t>пунктом 6</w:t>
      </w:r>
      <w:r>
        <w:rPr>
          <w:rFonts w:eastAsia="MS Mincho"/>
          <w:szCs w:val="28"/>
        </w:rPr>
        <w:t xml:space="preserve"> статьи 75 </w:t>
      </w:r>
      <w:r w:rsidRPr="00E13E37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E13E37">
        <w:rPr>
          <w:szCs w:val="28"/>
        </w:rPr>
        <w:t>от</w:t>
      </w:r>
      <w:r>
        <w:rPr>
          <w:szCs w:val="28"/>
        </w:rPr>
        <w:t xml:space="preserve"> 12.06.2002</w:t>
      </w:r>
      <w:r w:rsidRPr="00E13E37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Pr="00C37F5C">
        <w:rPr>
          <w:rFonts w:eastAsia="MS Mincho"/>
          <w:szCs w:val="28"/>
        </w:rPr>
        <w:t xml:space="preserve">,  </w:t>
      </w:r>
      <w:r w:rsidRPr="00C37F5C">
        <w:rPr>
          <w:szCs w:val="28"/>
          <w:shd w:val="clear" w:color="auto" w:fill="FFFFFF"/>
        </w:rPr>
        <w:t xml:space="preserve"> </w:t>
      </w:r>
      <w:r w:rsidRPr="00C37F5C">
        <w:rPr>
          <w:szCs w:val="28"/>
        </w:rPr>
        <w:t>Территориал</w:t>
      </w:r>
      <w:r>
        <w:rPr>
          <w:szCs w:val="28"/>
        </w:rPr>
        <w:t>ьная избирательная комиссия № 24</w:t>
      </w:r>
    </w:p>
    <w:p w:rsidR="00EF5540" w:rsidRDefault="00EF5540" w:rsidP="00F25773">
      <w:pPr>
        <w:ind w:firstLine="709"/>
        <w:jc w:val="both"/>
        <w:rPr>
          <w:szCs w:val="28"/>
        </w:rPr>
      </w:pPr>
    </w:p>
    <w:p w:rsidR="00EF5540" w:rsidRPr="00F25773" w:rsidRDefault="00EF5540" w:rsidP="00BD4850">
      <w:pPr>
        <w:spacing w:line="360" w:lineRule="auto"/>
        <w:jc w:val="both"/>
        <w:rPr>
          <w:b/>
          <w:i/>
          <w:szCs w:val="28"/>
        </w:rPr>
      </w:pPr>
      <w:r w:rsidRPr="00F25773">
        <w:rPr>
          <w:b/>
          <w:i/>
          <w:szCs w:val="28"/>
        </w:rPr>
        <w:t>РЕШИЛА:</w:t>
      </w:r>
    </w:p>
    <w:p w:rsidR="00EF5540" w:rsidRDefault="00EF5540" w:rsidP="00626CC4">
      <w:pPr>
        <w:pStyle w:val="BodyTextIndent3"/>
        <w:numPr>
          <w:ilvl w:val="0"/>
          <w:numId w:val="12"/>
        </w:numPr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Создать </w:t>
      </w:r>
      <w:r w:rsidRPr="009E5729">
        <w:rPr>
          <w:bCs/>
          <w:szCs w:val="28"/>
        </w:rPr>
        <w:t xml:space="preserve">рабочую группу </w:t>
      </w:r>
      <w:r w:rsidRPr="009E5729">
        <w:rPr>
          <w:szCs w:val="28"/>
          <w:lang w:eastAsia="en-US"/>
        </w:rPr>
        <w:t>по предварительному рассмотрению жалоб (заявлений) на решения и действия (бездействие) избирательных комиссий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9E5729">
        <w:rPr>
          <w:szCs w:val="28"/>
          <w:lang w:eastAsia="en-US"/>
        </w:rPr>
        <w:t>и их должностных лиц, нарушающие избирательные права граждан Российской Федерации, иных обращений о нарушении закона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  <w:t>при проведении выборов</w:t>
      </w:r>
      <w:r w:rsidRPr="008C55E9">
        <w:rPr>
          <w:szCs w:val="28"/>
          <w:lang w:eastAsia="en-US"/>
        </w:rPr>
        <w:t xml:space="preserve"> Президента Российской Федерации </w:t>
      </w:r>
      <w:r w:rsidRPr="009E5729">
        <w:rPr>
          <w:bCs/>
          <w:szCs w:val="28"/>
        </w:rPr>
        <w:t>(далее – Рабоч</w:t>
      </w:r>
      <w:r>
        <w:rPr>
          <w:bCs/>
          <w:szCs w:val="28"/>
        </w:rPr>
        <w:t>ая группа) в составе согласно приложению № 1.</w:t>
      </w:r>
    </w:p>
    <w:p w:rsidR="00EF5540" w:rsidRDefault="00EF5540" w:rsidP="00626CC4">
      <w:pPr>
        <w:pStyle w:val="BodyTextIndent3"/>
        <w:numPr>
          <w:ilvl w:val="0"/>
          <w:numId w:val="12"/>
        </w:numPr>
        <w:tabs>
          <w:tab w:val="left" w:pos="0"/>
        </w:tabs>
        <w:spacing w:line="240" w:lineRule="auto"/>
        <w:rPr>
          <w:bCs/>
          <w:szCs w:val="28"/>
        </w:rPr>
      </w:pPr>
      <w:r w:rsidRPr="000500E7">
        <w:rPr>
          <w:bCs/>
          <w:szCs w:val="28"/>
        </w:rPr>
        <w:t xml:space="preserve">Утвердить положение о </w:t>
      </w:r>
      <w:r>
        <w:rPr>
          <w:bCs/>
          <w:szCs w:val="28"/>
        </w:rPr>
        <w:t>Рабоч</w:t>
      </w:r>
      <w:r w:rsidRPr="000500E7">
        <w:rPr>
          <w:bCs/>
          <w:szCs w:val="28"/>
        </w:rPr>
        <w:t xml:space="preserve">ей группе </w:t>
      </w:r>
      <w:r>
        <w:rPr>
          <w:bCs/>
          <w:szCs w:val="28"/>
        </w:rPr>
        <w:t xml:space="preserve">согласно </w:t>
      </w:r>
      <w:r w:rsidRPr="000500E7">
        <w:rPr>
          <w:bCs/>
          <w:szCs w:val="28"/>
        </w:rPr>
        <w:t>приложени</w:t>
      </w:r>
      <w:r>
        <w:rPr>
          <w:bCs/>
          <w:szCs w:val="28"/>
        </w:rPr>
        <w:t>ю № 2</w:t>
      </w:r>
      <w:r w:rsidRPr="000500E7">
        <w:rPr>
          <w:bCs/>
          <w:szCs w:val="28"/>
        </w:rPr>
        <w:t xml:space="preserve">. </w:t>
      </w:r>
    </w:p>
    <w:p w:rsidR="00EF5540" w:rsidRPr="004B7556" w:rsidRDefault="00EF5540" w:rsidP="00626CC4">
      <w:pPr>
        <w:pStyle w:val="ListParagraph"/>
        <w:numPr>
          <w:ilvl w:val="0"/>
          <w:numId w:val="12"/>
        </w:numPr>
        <w:jc w:val="both"/>
        <w:rPr>
          <w:bCs/>
          <w:szCs w:val="28"/>
        </w:rPr>
      </w:pPr>
      <w:r>
        <w:rPr>
          <w:szCs w:val="28"/>
        </w:rPr>
        <w:t>Разместить настоящее р</w:t>
      </w:r>
      <w:r w:rsidRPr="009D247C">
        <w:rPr>
          <w:szCs w:val="28"/>
        </w:rPr>
        <w:t>ешение на</w:t>
      </w:r>
      <w:r>
        <w:rPr>
          <w:szCs w:val="28"/>
        </w:rPr>
        <w:t xml:space="preserve"> официальном </w:t>
      </w:r>
      <w:r w:rsidRPr="009D247C">
        <w:rPr>
          <w:szCs w:val="28"/>
        </w:rPr>
        <w:t>сайте</w:t>
      </w:r>
      <w:r>
        <w:rPr>
          <w:szCs w:val="28"/>
        </w:rPr>
        <w:t xml:space="preserve"> Территориальной избирательной</w:t>
      </w:r>
      <w:r w:rsidRPr="009D247C">
        <w:rPr>
          <w:szCs w:val="28"/>
        </w:rPr>
        <w:t xml:space="preserve"> </w:t>
      </w:r>
      <w:r>
        <w:rPr>
          <w:szCs w:val="28"/>
        </w:rPr>
        <w:t>к</w:t>
      </w:r>
      <w:r w:rsidRPr="009D247C">
        <w:rPr>
          <w:szCs w:val="28"/>
        </w:rPr>
        <w:t>омиссии</w:t>
      </w:r>
      <w:r>
        <w:rPr>
          <w:szCs w:val="28"/>
        </w:rPr>
        <w:t xml:space="preserve"> № 24 </w:t>
      </w:r>
      <w:r w:rsidRPr="009D247C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9D247C">
        <w:rPr>
          <w:szCs w:val="28"/>
        </w:rPr>
        <w:t>Интернет</w:t>
      </w:r>
      <w:r>
        <w:rPr>
          <w:szCs w:val="28"/>
        </w:rPr>
        <w:t>»</w:t>
      </w:r>
      <w:r w:rsidRPr="009D247C">
        <w:rPr>
          <w:szCs w:val="28"/>
        </w:rPr>
        <w:t>.</w:t>
      </w:r>
    </w:p>
    <w:p w:rsidR="00EF5540" w:rsidRDefault="00EF5540" w:rsidP="008C0870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540" w:rsidRPr="00F25773" w:rsidRDefault="00EF5540" w:rsidP="00545AE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540" w:rsidRPr="00F25773" w:rsidRDefault="00EF5540" w:rsidP="009A64FD">
      <w:pPr>
        <w:jc w:val="both"/>
        <w:rPr>
          <w:szCs w:val="28"/>
        </w:rPr>
      </w:pPr>
      <w:r w:rsidRPr="00F25773">
        <w:rPr>
          <w:szCs w:val="28"/>
        </w:rPr>
        <w:t>Председатель Территориальной</w:t>
      </w:r>
    </w:p>
    <w:p w:rsidR="00EF5540" w:rsidRPr="00F25773" w:rsidRDefault="00EF5540" w:rsidP="009A64FD">
      <w:pPr>
        <w:jc w:val="both"/>
        <w:rPr>
          <w:szCs w:val="28"/>
        </w:rPr>
      </w:pPr>
      <w:r w:rsidRPr="00F25773">
        <w:rPr>
          <w:szCs w:val="28"/>
        </w:rPr>
        <w:t>избирательной комиссии №24                                            А.Ю. Рудаков</w:t>
      </w:r>
    </w:p>
    <w:p w:rsidR="00EF5540" w:rsidRPr="00F25773" w:rsidRDefault="00EF5540" w:rsidP="009A64FD">
      <w:pPr>
        <w:jc w:val="both"/>
        <w:rPr>
          <w:szCs w:val="28"/>
        </w:rPr>
      </w:pPr>
    </w:p>
    <w:p w:rsidR="00EF5540" w:rsidRPr="00F25773" w:rsidRDefault="00EF5540" w:rsidP="009A64FD">
      <w:pPr>
        <w:jc w:val="both"/>
        <w:rPr>
          <w:szCs w:val="28"/>
        </w:rPr>
      </w:pPr>
      <w:bookmarkStart w:id="0" w:name="_GoBack"/>
      <w:bookmarkEnd w:id="0"/>
      <w:r w:rsidRPr="00F25773">
        <w:rPr>
          <w:szCs w:val="28"/>
        </w:rPr>
        <w:t xml:space="preserve">Секретарь Территориальной </w:t>
      </w:r>
    </w:p>
    <w:p w:rsidR="00EF5540" w:rsidRPr="00F25773" w:rsidRDefault="00EF5540" w:rsidP="009A64FD">
      <w:pPr>
        <w:jc w:val="both"/>
        <w:rPr>
          <w:szCs w:val="28"/>
        </w:rPr>
      </w:pPr>
      <w:r w:rsidRPr="00F25773">
        <w:rPr>
          <w:szCs w:val="28"/>
        </w:rPr>
        <w:t>избирательной комиссии №24                                            В.В. Скрыпник</w:t>
      </w: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 CYR" w:hAnsi="Times New Roman CYR"/>
          <w:szCs w:val="28"/>
        </w:rPr>
        <w:br w:type="page"/>
      </w:r>
      <w:r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избирательной комиссии </w:t>
      </w:r>
      <w:r>
        <w:rPr>
          <w:rFonts w:ascii="Times New Roman" w:hAnsi="Times New Roman" w:cs="Times New Roman"/>
          <w:bCs/>
          <w:sz w:val="20"/>
          <w:szCs w:val="20"/>
        </w:rPr>
        <w:t>№ 24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от 22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/>
            <w:sz w:val="20"/>
            <w:szCs w:val="20"/>
          </w:rPr>
          <w:t>2017 г</w:t>
        </w:r>
      </w:smartTag>
      <w:r>
        <w:rPr>
          <w:rFonts w:ascii="Times New Roman" w:hAnsi="Times New Roman" w:cs="Times New Roman"/>
          <w:bCs/>
          <w:sz w:val="20"/>
          <w:szCs w:val="20"/>
        </w:rPr>
        <w:t>. № 30-2</w:t>
      </w: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2"/>
        <w:gridCol w:w="3191"/>
      </w:tblGrid>
      <w:tr w:rsidR="00EF5540" w:rsidTr="007F2410">
        <w:tc>
          <w:tcPr>
            <w:tcW w:w="817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F5540" w:rsidTr="007F2410">
        <w:tc>
          <w:tcPr>
            <w:tcW w:w="817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Ольга Владимировна</w:t>
            </w:r>
          </w:p>
        </w:tc>
        <w:tc>
          <w:tcPr>
            <w:tcW w:w="3191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F5540" w:rsidTr="007F2410">
        <w:tc>
          <w:tcPr>
            <w:tcW w:w="817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Павел Алексеевич </w:t>
            </w:r>
          </w:p>
        </w:tc>
        <w:tc>
          <w:tcPr>
            <w:tcW w:w="3191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EF5540" w:rsidTr="007F2410">
        <w:tc>
          <w:tcPr>
            <w:tcW w:w="817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Головачук Светлана Ивановна</w:t>
            </w:r>
          </w:p>
        </w:tc>
        <w:tc>
          <w:tcPr>
            <w:tcW w:w="3191" w:type="dxa"/>
          </w:tcPr>
          <w:p w:rsidR="00EF5540" w:rsidRPr="007F2410" w:rsidRDefault="00EF5540" w:rsidP="007F241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</w:tr>
    </w:tbl>
    <w:p w:rsidR="00EF5540" w:rsidRPr="009D247C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F5540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EF5540" w:rsidRPr="00DC5B2E" w:rsidRDefault="00EF5540" w:rsidP="0046492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EF5540" w:rsidRDefault="00EF5540" w:rsidP="00464922">
      <w:pPr>
        <w:spacing w:after="200" w:line="276" w:lineRule="auto"/>
        <w:jc w:val="left"/>
        <w:rPr>
          <w:rFonts w:ascii="Helvetica" w:hAnsi="Helvetica" w:cs="Arial Unicode MS"/>
          <w:b/>
          <w:color w:val="000000"/>
          <w:sz w:val="22"/>
          <w:szCs w:val="22"/>
        </w:rPr>
      </w:pPr>
      <w:r>
        <w:rPr>
          <w:rFonts w:ascii="Helvetica" w:hAnsi="Helvetica" w:cs="Arial Unicode MS"/>
          <w:b/>
          <w:color w:val="000000"/>
          <w:sz w:val="22"/>
          <w:szCs w:val="22"/>
        </w:rPr>
        <w:br w:type="page"/>
        <w:t>-</w:t>
      </w:r>
    </w:p>
    <w:p w:rsidR="00EF5540" w:rsidRDefault="00EF5540">
      <w:pPr>
        <w:jc w:val="left"/>
        <w:rPr>
          <w:rFonts w:ascii="Times New Roman CYR" w:hAnsi="Times New Roman CYR"/>
          <w:szCs w:val="28"/>
        </w:rPr>
      </w:pPr>
    </w:p>
    <w:p w:rsidR="00EF5540" w:rsidRDefault="00EF5540" w:rsidP="00AF7550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EF5540" w:rsidRDefault="00EF5540" w:rsidP="00AF7550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DC5B2E">
        <w:rPr>
          <w:rFonts w:ascii="Times New Roman" w:hAnsi="Times New Roman" w:cs="Times New Roman"/>
          <w:bCs/>
          <w:sz w:val="20"/>
          <w:szCs w:val="20"/>
        </w:rPr>
        <w:t xml:space="preserve">к решению Территориальной избирательной комиссии </w:t>
      </w:r>
      <w:r>
        <w:rPr>
          <w:rFonts w:ascii="Times New Roman" w:hAnsi="Times New Roman" w:cs="Times New Roman"/>
          <w:bCs/>
          <w:sz w:val="20"/>
          <w:szCs w:val="20"/>
        </w:rPr>
        <w:t>№ 24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от 22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/>
            <w:sz w:val="20"/>
            <w:szCs w:val="20"/>
          </w:rPr>
          <w:t>2017 г</w:t>
        </w:r>
      </w:smartTag>
      <w:r>
        <w:rPr>
          <w:rFonts w:ascii="Times New Roman" w:hAnsi="Times New Roman" w:cs="Times New Roman"/>
          <w:bCs/>
          <w:sz w:val="20"/>
          <w:szCs w:val="20"/>
        </w:rPr>
        <w:t>. № 30-2</w:t>
      </w:r>
    </w:p>
    <w:p w:rsidR="00EF5540" w:rsidRPr="005232F8" w:rsidRDefault="00EF5540" w:rsidP="00BD4850">
      <w:pPr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EF5540" w:rsidRPr="007875F5" w:rsidRDefault="00EF5540" w:rsidP="00BD4850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EF5540" w:rsidRDefault="00EF5540" w:rsidP="00BD4850">
      <w:pPr>
        <w:keepNext/>
        <w:spacing w:after="120"/>
        <w:outlineLvl w:val="5"/>
        <w:rPr>
          <w:b/>
          <w:bCs/>
          <w:szCs w:val="28"/>
        </w:rPr>
      </w:pPr>
      <w:r w:rsidRPr="000609FC">
        <w:rPr>
          <w:b/>
          <w:bCs/>
          <w:szCs w:val="28"/>
        </w:rPr>
        <w:t>ПОЛОЖЕНИЕ</w:t>
      </w:r>
    </w:p>
    <w:p w:rsidR="00EF5540" w:rsidRPr="000609FC" w:rsidRDefault="00EF5540" w:rsidP="00BD485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9FC">
        <w:rPr>
          <w:rFonts w:ascii="Times New Roman" w:hAnsi="Times New Roman"/>
          <w:b/>
          <w:sz w:val="28"/>
          <w:szCs w:val="28"/>
        </w:rPr>
        <w:t>о Рабочей группе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</w:t>
      </w:r>
    </w:p>
    <w:p w:rsidR="00EF5540" w:rsidRDefault="00EF5540" w:rsidP="00BD4850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5540" w:rsidRDefault="00EF5540" w:rsidP="00BD4850">
      <w:pPr>
        <w:pStyle w:val="NoSpacing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9FC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EF5540" w:rsidRPr="000609FC" w:rsidRDefault="00EF5540" w:rsidP="00BD4850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Настоящее Положение определяет порядок деятельности Рабочей группы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Федерации, иных обращений о нарушении закона (далее - Рабочая группа), за исключением обращений о нарушениях положений законов, регулирующих информирование избирателей, проведение предвыборной </w:t>
      </w:r>
      <w:r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агитации.</w:t>
      </w:r>
    </w:p>
    <w:p w:rsidR="00EF5540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Рабочая группа в своей деятельности руководствуется </w:t>
      </w:r>
      <w:hyperlink r:id="rId6" w:history="1">
        <w:r w:rsidRPr="000609FC">
          <w:rPr>
            <w:rFonts w:ascii="Times New Roman" w:eastAsia="MS Mincho" w:hAnsi="Times New Roman"/>
            <w:sz w:val="28"/>
            <w:szCs w:val="28"/>
            <w:lang w:eastAsia="ru-RU"/>
          </w:rPr>
          <w:t>Конституцией</w:t>
        </w:r>
      </w:hyperlink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 Российской Федерации, федеральными конституционными законами, федеральными законами, законами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Санкт-Петербурга, нормативными правовыми актами Центральной избирательной комиссии Российской Федерации, </w:t>
      </w:r>
      <w:r>
        <w:rPr>
          <w:rFonts w:ascii="Times New Roman" w:eastAsia="MS Mincho" w:hAnsi="Times New Roman"/>
          <w:sz w:val="28"/>
          <w:szCs w:val="28"/>
          <w:lang w:eastAsia="ru-RU"/>
        </w:rPr>
        <w:t>постановлениями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Санкт-Петербургской избирательной комиссии, Регламентом </w:t>
      </w:r>
      <w:r>
        <w:rPr>
          <w:rFonts w:ascii="Times New Roman" w:eastAsia="MS Mincho" w:hAnsi="Times New Roman"/>
          <w:sz w:val="28"/>
          <w:szCs w:val="28"/>
          <w:lang w:eastAsia="ru-RU"/>
        </w:rPr>
        <w:t>Территориальной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избирательной комиссии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№ 24 (далее – Комиссия)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, а также настоящим Положением.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F5540" w:rsidRPr="000609FC" w:rsidRDefault="00EF5540" w:rsidP="00E0364F">
      <w:pPr>
        <w:pStyle w:val="NoSpacing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9FC">
        <w:rPr>
          <w:rFonts w:ascii="Times New Roman" w:hAnsi="Times New Roman"/>
          <w:sz w:val="28"/>
          <w:szCs w:val="28"/>
          <w:lang w:eastAsia="ru-RU"/>
        </w:rPr>
        <w:t>2. Порядок предварительного рассмотрения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9FC">
        <w:rPr>
          <w:rFonts w:ascii="Times New Roman" w:hAnsi="Times New Roman"/>
          <w:sz w:val="28"/>
          <w:szCs w:val="28"/>
          <w:lang w:eastAsia="ru-RU"/>
        </w:rPr>
        <w:t xml:space="preserve"> жалоб (заявлений)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609FC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избирательных комиссий и их должностных лиц, нарушающие избирательные права граждан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Поступившие в Комисси</w:t>
      </w:r>
      <w:r>
        <w:rPr>
          <w:rFonts w:ascii="Times New Roman" w:eastAsia="MS Mincho" w:hAnsi="Times New Roman"/>
          <w:sz w:val="28"/>
          <w:szCs w:val="28"/>
          <w:lang w:eastAsia="ru-RU"/>
        </w:rPr>
        <w:t>ю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жалобы (заявления) на решения и действия (бездействие) избирательных комиссий и их должностных лиц, нарушающие избирательные права граждан Российской Федерации, вносятся на заседание Рабочей группы по поручению председателя Комиссии, заместителя председателя Комиссии.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Заседание Рабочей группы созывает руководитель Рабочей группы либо в случае его отсутствия - заместитель. Деятельность Рабочей группы осуществляется коллегиально. 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по существу.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На заседании Рабочей группы вправе присутствовать, выступать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и задавать вопросы, вносить предложения и требовать проведения по ним голосования члены Комиссии с правом решающего голоса, не являющиеся членами Рабочей группы, члены Комиссии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 правом совещательного голоса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При рассмотрении жалобы (заявления) на заседание Рабочей группы приглашаются заинтересованные стороны </w:t>
      </w:r>
      <w:r>
        <w:rPr>
          <w:rFonts w:ascii="Times New Roman" w:eastAsia="MS Mincho" w:hAnsi="Times New Roman"/>
          <w:sz w:val="28"/>
          <w:szCs w:val="28"/>
          <w:lang w:eastAsia="ru-RU"/>
        </w:rPr>
        <w:t>–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заявитель (податель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жалобы</w:t>
      </w:r>
      <w:r>
        <w:rPr>
          <w:rFonts w:ascii="Times New Roman" w:eastAsia="MS Mincho" w:hAnsi="Times New Roman"/>
          <w:sz w:val="28"/>
          <w:szCs w:val="28"/>
          <w:lang w:eastAsia="ru-RU"/>
        </w:rPr>
        <w:t>)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(заявления) и представитель комиссии или должностное лицо, чьи действия (бездействие) обжалуются. В заседании вправе участвовать представители заинтересованных сторон. Полномочия представител</w:t>
      </w:r>
      <w:r>
        <w:rPr>
          <w:rFonts w:ascii="Times New Roman" w:eastAsia="MS Mincho" w:hAnsi="Times New Roman"/>
          <w:sz w:val="28"/>
          <w:szCs w:val="28"/>
          <w:lang w:eastAsia="ru-RU"/>
        </w:rPr>
        <w:t>ей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заинтересованн</w:t>
      </w:r>
      <w:r>
        <w:rPr>
          <w:rFonts w:ascii="Times New Roman" w:eastAsia="MS Mincho" w:hAnsi="Times New Roman"/>
          <w:sz w:val="28"/>
          <w:szCs w:val="28"/>
          <w:lang w:eastAsia="ru-RU"/>
        </w:rPr>
        <w:t>ых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сторон должны быть оформлены </w:t>
      </w:r>
      <w:r>
        <w:rPr>
          <w:rFonts w:ascii="Times New Roman" w:eastAsia="MS Mincho" w:hAnsi="Times New Roman"/>
          <w:sz w:val="28"/>
          <w:szCs w:val="28"/>
          <w:lang w:eastAsia="ru-RU"/>
        </w:rPr>
        <w:t>порядке, установленном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законом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Для подготовки вносимых на заседание Рабочей группы вопросов могут приглашаться представители иных избирательных комиссий, комиссий референдума, специалисты, эксперты.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Продолжительность выступлений на заседании Рабочей группы устанавливается председательствующим на заседании по согласованию с докладчиком и заинтересованными сторонами, но не должна превышать:</w:t>
      </w:r>
    </w:p>
    <w:p w:rsidR="00EF5540" w:rsidRPr="000609FC" w:rsidRDefault="00EF5540" w:rsidP="00E0364F">
      <w:pPr>
        <w:pStyle w:val="NoSpacing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для доклада и выступлений заинтересованных сторон - 10 минут;</w:t>
      </w:r>
    </w:p>
    <w:p w:rsidR="00EF5540" w:rsidRPr="000609FC" w:rsidRDefault="00EF5540" w:rsidP="00E0364F">
      <w:pPr>
        <w:pStyle w:val="NoSpacing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для иных выступлений - 5 минут;</w:t>
      </w:r>
    </w:p>
    <w:p w:rsidR="00EF5540" w:rsidRPr="000609FC" w:rsidRDefault="00EF5540" w:rsidP="00E0364F">
      <w:pPr>
        <w:pStyle w:val="NoSpacing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для справок, оглашения информации, обращений - 2 минут;</w:t>
      </w:r>
    </w:p>
    <w:p w:rsidR="00EF5540" w:rsidRPr="000609FC" w:rsidRDefault="00EF5540" w:rsidP="00E0364F">
      <w:pPr>
        <w:pStyle w:val="NoSpacing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для заключительного слова докладчика - 3 минут.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Рабочая группа вправе принять решение о предоставлении дополнительного времени докладчику и заинтересованным сторонам.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Руководитель Рабочей группы (председательствующий на заседании) ведет заседание, предоставляет слово участникам заседания, ставит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на голосование поступающие предложения, оглашает результаты голосования, организует принятие рекомендаций для Комиссии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по обсуждаемому вопросу.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По поручению руководителя Рабочей группы секретарь Рабочей группы обеспечивает членов Рабочей группы всеми поступившими в Комиссию по рассматриваемой жалобе (заявлению) материалами, извещает членов Рабочей группы и сотрудников аппарата, участвующих в подготовке материалов на заседание Рабочей группы, о дате и времени заседания Рабочей группы, извещает заинтересованные стороны, других лиц, приглашаемых на заседание, составляет список участников заседания, в том числе приглашенных, регистрирует участников заседания.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Секретарь Рабочей группы ведет протокол заседания Рабочей группы. В протоколе указываются: дата и повестка дня заседания, присутствующие на заседании члены Рабочей группы, заинтересованные стороны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или их представители, другие приглашенные на заседание, выступившие при обсуждении вопросов повестки дня, внесенные предложения, результаты голосования по ним, а также по рекомендациям Рабочей группы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для Комиссии.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Протокол заседания Рабочей группы подписывают руководитель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и секретарь Рабочей группы (председательствующий и секретарь заседания).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Рекомендации Рабочей группы для Комиссии по результатам предварительного рассмотрения жалобы (заявления) принимаются большинством голосов от числа присутствующих на заседании членов Рабоч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ей группы открытым голосованием. 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На основании принятых Рабочей группой рекомендаций руководитель Рабочей группы или по его поручению заместитель руководителя Рабочей группы, член Комиссии, являющийся членом Рабочей группы, в установленном порядке готовит соответствующий проект решения Комиссии и представляет его на заседании Комиссии.</w:t>
      </w:r>
    </w:p>
    <w:p w:rsidR="00EF5540" w:rsidRPr="000609FC" w:rsidRDefault="00EF5540" w:rsidP="00E0364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5540" w:rsidRDefault="00EF5540" w:rsidP="00E0364F">
      <w:pPr>
        <w:pStyle w:val="NoSpacing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9FC">
        <w:rPr>
          <w:rFonts w:ascii="Times New Roman" w:hAnsi="Times New Roman"/>
          <w:sz w:val="28"/>
          <w:szCs w:val="28"/>
          <w:lang w:eastAsia="ru-RU"/>
        </w:rPr>
        <w:t>Порядок рассмотрения иных обращений о нарушении закона</w:t>
      </w:r>
    </w:p>
    <w:p w:rsidR="00EF5540" w:rsidRPr="000609FC" w:rsidRDefault="00EF5540" w:rsidP="00E0364F">
      <w:pPr>
        <w:pStyle w:val="NoSpacing"/>
        <w:spacing w:line="276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Поступившие в Комиссию иные обращения о нарушении закона,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за исключением обращений о нарушениях положений законов, регулирующих информирование избирателей, проведение предвыборной агитации, по поручению председателя Комиссии, заместителя председателя Комиссии передаются руководителю Рабочей группы, который поручает члену Рабочей группы в соответствии с направлением его деятельности рассмотрение обращения и подготовку проекта ответа заявите</w:t>
      </w:r>
      <w:r>
        <w:rPr>
          <w:rFonts w:ascii="Times New Roman" w:eastAsia="MS Mincho" w:hAnsi="Times New Roman"/>
          <w:sz w:val="28"/>
          <w:szCs w:val="28"/>
          <w:lang w:eastAsia="ru-RU"/>
        </w:rPr>
        <w:t>---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лю либо проекта представления о проведении соответствующей проверки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и пресечении нарушений закона в правоохранительные органы, органы исполнительной власти.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Если обращение указывает на нарушение закона кандидатом, избирательным объединением, эти кандидат,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по существу обращения.</w:t>
      </w:r>
    </w:p>
    <w:p w:rsidR="00EF5540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В случае нарушения кандидатом, избирательным объединением избирательного законодательства вопрос о вынесении этим кандидату, избирательному объединению предупреждения рассматривается 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на заседании Рабочей группы в порядке, предусмотренном </w:t>
      </w:r>
      <w:r>
        <w:rPr>
          <w:rFonts w:ascii="Times New Roman" w:eastAsia="MS Mincho" w:hAnsi="Times New Roman"/>
          <w:sz w:val="28"/>
          <w:szCs w:val="28"/>
          <w:lang w:eastAsia="ru-RU"/>
        </w:rPr>
        <w:t>пунктом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 2 настоящего Положения.</w:t>
      </w:r>
    </w:p>
    <w:p w:rsidR="00EF5540" w:rsidRDefault="00EF5540" w:rsidP="00E0364F">
      <w:pPr>
        <w:pStyle w:val="NoSpacing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5540" w:rsidRDefault="00EF5540" w:rsidP="00E0364F">
      <w:pPr>
        <w:pStyle w:val="NoSpacing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5540" w:rsidRPr="000609FC" w:rsidRDefault="00EF5540" w:rsidP="00E0364F">
      <w:pPr>
        <w:pStyle w:val="NoSpacing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9FC">
        <w:rPr>
          <w:rFonts w:ascii="Times New Roman" w:hAnsi="Times New Roman"/>
          <w:sz w:val="28"/>
          <w:szCs w:val="28"/>
          <w:lang w:eastAsia="ru-RU"/>
        </w:rPr>
        <w:t>4. Заключительные положения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Поступившие в Рабочую группу жалоб</w:t>
      </w:r>
      <w:r>
        <w:rPr>
          <w:rFonts w:ascii="Times New Roman" w:eastAsia="MS Mincho" w:hAnsi="Times New Roman"/>
          <w:sz w:val="28"/>
          <w:szCs w:val="28"/>
          <w:lang w:eastAsia="ru-RU"/>
        </w:rPr>
        <w:t>ы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 xml:space="preserve">, иные обращения, протоколы заседаний и другие материалы Рабочей группы хранятся у секретаря Рабочей группы в течение срока, установленного </w:t>
      </w:r>
      <w:r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0609FC">
        <w:rPr>
          <w:rFonts w:ascii="Times New Roman" w:eastAsia="MS Mincho" w:hAnsi="Times New Roman"/>
          <w:sz w:val="28"/>
          <w:szCs w:val="28"/>
          <w:lang w:eastAsia="ru-RU"/>
        </w:rPr>
        <w:t>нструкцией по делопроизводству Комиссии.</w:t>
      </w:r>
    </w:p>
    <w:p w:rsidR="00EF5540" w:rsidRPr="000609FC" w:rsidRDefault="00EF5540" w:rsidP="00E0364F">
      <w:pPr>
        <w:pStyle w:val="NoSpacing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609FC">
        <w:rPr>
          <w:rFonts w:ascii="Times New Roman" w:eastAsia="MS Mincho" w:hAnsi="Times New Roman"/>
          <w:sz w:val="28"/>
          <w:szCs w:val="28"/>
          <w:lang w:eastAsia="ru-RU"/>
        </w:rPr>
        <w:t>В отсутствие руководителя Рабочей группы его полномочия исполняет заместитель руководителя Рабочей группы.</w:t>
      </w:r>
    </w:p>
    <w:sectPr w:rsidR="00EF5540" w:rsidRPr="000609FC" w:rsidSect="00E0364F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630"/>
    <w:multiLevelType w:val="hybridMultilevel"/>
    <w:tmpl w:val="F79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35749"/>
    <w:multiLevelType w:val="hybridMultilevel"/>
    <w:tmpl w:val="8DD4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E1EBB"/>
    <w:multiLevelType w:val="hybridMultilevel"/>
    <w:tmpl w:val="30E4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AB1458"/>
    <w:multiLevelType w:val="hybridMultilevel"/>
    <w:tmpl w:val="766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F5089"/>
    <w:multiLevelType w:val="hybridMultilevel"/>
    <w:tmpl w:val="E0F6E8D2"/>
    <w:lvl w:ilvl="0" w:tplc="AFDAB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006"/>
    <w:multiLevelType w:val="hybridMultilevel"/>
    <w:tmpl w:val="767863FC"/>
    <w:numStyleLink w:val="a"/>
  </w:abstractNum>
  <w:abstractNum w:abstractNumId="7">
    <w:nsid w:val="371B562C"/>
    <w:multiLevelType w:val="hybridMultilevel"/>
    <w:tmpl w:val="4AD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637F2"/>
    <w:multiLevelType w:val="hybridMultilevel"/>
    <w:tmpl w:val="67EA120C"/>
    <w:lvl w:ilvl="0" w:tplc="BB9A9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5A385283"/>
    <w:multiLevelType w:val="hybridMultilevel"/>
    <w:tmpl w:val="EB0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C6622"/>
    <w:multiLevelType w:val="hybridMultilevel"/>
    <w:tmpl w:val="B94C0AB6"/>
    <w:lvl w:ilvl="0" w:tplc="AFDAB27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D5"/>
    <w:rsid w:val="00001BBD"/>
    <w:rsid w:val="000323DD"/>
    <w:rsid w:val="00046A44"/>
    <w:rsid w:val="000500E7"/>
    <w:rsid w:val="00054275"/>
    <w:rsid w:val="0005433B"/>
    <w:rsid w:val="00055B36"/>
    <w:rsid w:val="0006075F"/>
    <w:rsid w:val="000609FC"/>
    <w:rsid w:val="000A46AD"/>
    <w:rsid w:val="000B1AD5"/>
    <w:rsid w:val="000B5B03"/>
    <w:rsid w:val="000B62AD"/>
    <w:rsid w:val="000C3688"/>
    <w:rsid w:val="00101067"/>
    <w:rsid w:val="00122B11"/>
    <w:rsid w:val="001259A9"/>
    <w:rsid w:val="00146D73"/>
    <w:rsid w:val="0016604C"/>
    <w:rsid w:val="00172EAD"/>
    <w:rsid w:val="001B1769"/>
    <w:rsid w:val="00213354"/>
    <w:rsid w:val="00226A9C"/>
    <w:rsid w:val="0023472D"/>
    <w:rsid w:val="00234775"/>
    <w:rsid w:val="0029211C"/>
    <w:rsid w:val="002A3A33"/>
    <w:rsid w:val="002B25F2"/>
    <w:rsid w:val="00307FD9"/>
    <w:rsid w:val="00324B95"/>
    <w:rsid w:val="003256C4"/>
    <w:rsid w:val="00332FCD"/>
    <w:rsid w:val="0033379B"/>
    <w:rsid w:val="00337BBB"/>
    <w:rsid w:val="00382FA7"/>
    <w:rsid w:val="00391E22"/>
    <w:rsid w:val="003A1636"/>
    <w:rsid w:val="003B4CCB"/>
    <w:rsid w:val="003E3539"/>
    <w:rsid w:val="00424A29"/>
    <w:rsid w:val="00434009"/>
    <w:rsid w:val="004522F9"/>
    <w:rsid w:val="00464922"/>
    <w:rsid w:val="00487E58"/>
    <w:rsid w:val="004B4A69"/>
    <w:rsid w:val="004B7556"/>
    <w:rsid w:val="004C112D"/>
    <w:rsid w:val="004D03F2"/>
    <w:rsid w:val="005232F8"/>
    <w:rsid w:val="00531569"/>
    <w:rsid w:val="005326EF"/>
    <w:rsid w:val="00535DD3"/>
    <w:rsid w:val="00545AE5"/>
    <w:rsid w:val="00576AC9"/>
    <w:rsid w:val="00576E3F"/>
    <w:rsid w:val="00585ADF"/>
    <w:rsid w:val="00591CA0"/>
    <w:rsid w:val="005C39A5"/>
    <w:rsid w:val="005D2EE2"/>
    <w:rsid w:val="005F1BE4"/>
    <w:rsid w:val="00611A82"/>
    <w:rsid w:val="00626CC4"/>
    <w:rsid w:val="006727CC"/>
    <w:rsid w:val="00674A13"/>
    <w:rsid w:val="00684B1A"/>
    <w:rsid w:val="0069206A"/>
    <w:rsid w:val="006B5102"/>
    <w:rsid w:val="006B6DA2"/>
    <w:rsid w:val="006E322B"/>
    <w:rsid w:val="006E7E64"/>
    <w:rsid w:val="007268BE"/>
    <w:rsid w:val="00755F20"/>
    <w:rsid w:val="007875F5"/>
    <w:rsid w:val="00794827"/>
    <w:rsid w:val="007B24A3"/>
    <w:rsid w:val="007B3049"/>
    <w:rsid w:val="007C5362"/>
    <w:rsid w:val="007D0F53"/>
    <w:rsid w:val="007F2410"/>
    <w:rsid w:val="00890E6A"/>
    <w:rsid w:val="00894838"/>
    <w:rsid w:val="008A4A04"/>
    <w:rsid w:val="008C0870"/>
    <w:rsid w:val="008C3BE9"/>
    <w:rsid w:val="008C55E9"/>
    <w:rsid w:val="008D1579"/>
    <w:rsid w:val="008D465C"/>
    <w:rsid w:val="00917889"/>
    <w:rsid w:val="00952130"/>
    <w:rsid w:val="00962CC9"/>
    <w:rsid w:val="00973327"/>
    <w:rsid w:val="00985B0E"/>
    <w:rsid w:val="009A5D91"/>
    <w:rsid w:val="009A64FD"/>
    <w:rsid w:val="009D115E"/>
    <w:rsid w:val="009D247C"/>
    <w:rsid w:val="009E5729"/>
    <w:rsid w:val="009F4A64"/>
    <w:rsid w:val="00A45F37"/>
    <w:rsid w:val="00A62773"/>
    <w:rsid w:val="00A83DF9"/>
    <w:rsid w:val="00AD7B33"/>
    <w:rsid w:val="00AE0948"/>
    <w:rsid w:val="00AF7550"/>
    <w:rsid w:val="00B029FF"/>
    <w:rsid w:val="00B06469"/>
    <w:rsid w:val="00B12D0B"/>
    <w:rsid w:val="00B13DCD"/>
    <w:rsid w:val="00B27482"/>
    <w:rsid w:val="00B40E7B"/>
    <w:rsid w:val="00B4651B"/>
    <w:rsid w:val="00BD4850"/>
    <w:rsid w:val="00BD66A0"/>
    <w:rsid w:val="00BF6133"/>
    <w:rsid w:val="00C237C7"/>
    <w:rsid w:val="00C353C3"/>
    <w:rsid w:val="00C37F5C"/>
    <w:rsid w:val="00C42A31"/>
    <w:rsid w:val="00C54DE3"/>
    <w:rsid w:val="00C61A09"/>
    <w:rsid w:val="00C9511F"/>
    <w:rsid w:val="00CA5474"/>
    <w:rsid w:val="00CA7C9C"/>
    <w:rsid w:val="00CC321E"/>
    <w:rsid w:val="00D241E1"/>
    <w:rsid w:val="00D30D6D"/>
    <w:rsid w:val="00DC140B"/>
    <w:rsid w:val="00DC5B2E"/>
    <w:rsid w:val="00DE51F9"/>
    <w:rsid w:val="00DF4BED"/>
    <w:rsid w:val="00E0364F"/>
    <w:rsid w:val="00E13E37"/>
    <w:rsid w:val="00E53495"/>
    <w:rsid w:val="00E6256A"/>
    <w:rsid w:val="00EB7636"/>
    <w:rsid w:val="00EE1F55"/>
    <w:rsid w:val="00EE7967"/>
    <w:rsid w:val="00EF5540"/>
    <w:rsid w:val="00F150CF"/>
    <w:rsid w:val="00F25773"/>
    <w:rsid w:val="00F3176D"/>
    <w:rsid w:val="00F33EF9"/>
    <w:rsid w:val="00F35A78"/>
    <w:rsid w:val="00F41D30"/>
    <w:rsid w:val="00F435BE"/>
    <w:rsid w:val="00F73C70"/>
    <w:rsid w:val="00F85B56"/>
    <w:rsid w:val="00F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A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B1A"/>
    <w:pPr>
      <w:keepNext/>
      <w:widowControl w:val="0"/>
      <w:outlineLvl w:val="0"/>
    </w:pPr>
    <w:rPr>
      <w:b/>
      <w:kern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4B1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B1A"/>
    <w:rPr>
      <w:rFonts w:ascii="Times New Roman" w:hAnsi="Times New Roman" w:cs="Times New Roman"/>
      <w:b/>
      <w:kern w:val="28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4B1A"/>
    <w:rPr>
      <w:rFonts w:ascii="Times New Roman" w:hAnsi="Times New Roman" w:cs="Times New Roman"/>
      <w:b/>
      <w:spacing w:val="60"/>
      <w:sz w:val="24"/>
    </w:rPr>
  </w:style>
  <w:style w:type="paragraph" w:styleId="ListParagraph">
    <w:name w:val="List Paragraph"/>
    <w:basedOn w:val="Normal"/>
    <w:uiPriority w:val="99"/>
    <w:qFormat/>
    <w:rsid w:val="00591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7E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E64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85ADF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AD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585ADF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ADF"/>
    <w:rPr>
      <w:rFonts w:ascii="Times New Roman" w:hAnsi="Times New Roman" w:cs="Times New Roman"/>
      <w:sz w:val="28"/>
    </w:rPr>
  </w:style>
  <w:style w:type="table" w:customStyle="1" w:styleId="1">
    <w:name w:val="Сетка таблицы1"/>
    <w:uiPriority w:val="99"/>
    <w:rsid w:val="00BF61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F61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45A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 w:cs="Arial Unicode MS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AE5"/>
    <w:rPr>
      <w:rFonts w:ascii="Helvetica" w:hAnsi="Helvetica" w:cs="Arial Unicode MS"/>
      <w:color w:val="000000"/>
      <w:sz w:val="22"/>
      <w:szCs w:val="22"/>
      <w:lang w:val="ru-RU" w:eastAsia="ru-RU" w:bidi="ar-SA"/>
    </w:rPr>
  </w:style>
  <w:style w:type="paragraph" w:customStyle="1" w:styleId="Style8">
    <w:name w:val="Style8"/>
    <w:basedOn w:val="Normal"/>
    <w:uiPriority w:val="99"/>
    <w:rsid w:val="00CA5474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</w:rPr>
  </w:style>
  <w:style w:type="paragraph" w:styleId="BodyTextIndent3">
    <w:name w:val="Body Text Indent 3"/>
    <w:aliases w:val="Знак"/>
    <w:basedOn w:val="Normal"/>
    <w:link w:val="BodyTextIndent3Char"/>
    <w:uiPriority w:val="99"/>
    <w:rsid w:val="00BD4850"/>
    <w:pPr>
      <w:spacing w:line="360" w:lineRule="auto"/>
      <w:ind w:firstLine="709"/>
      <w:jc w:val="both"/>
    </w:pPr>
    <w:rPr>
      <w:szCs w:val="20"/>
    </w:rPr>
  </w:style>
  <w:style w:type="character" w:customStyle="1" w:styleId="BodyTextIndent3Char">
    <w:name w:val="Body Text Indent 3 Char"/>
    <w:aliases w:val="Знак Char"/>
    <w:basedOn w:val="DefaultParagraphFont"/>
    <w:link w:val="BodyTextIndent3"/>
    <w:uiPriority w:val="99"/>
    <w:locked/>
    <w:rsid w:val="00BD4850"/>
    <w:rPr>
      <w:rFonts w:ascii="Times New Roman" w:hAnsi="Times New Roman" w:cs="Times New Roman"/>
      <w:sz w:val="28"/>
    </w:rPr>
  </w:style>
  <w:style w:type="paragraph" w:styleId="NoSpacing">
    <w:name w:val="No Spacing"/>
    <w:uiPriority w:val="99"/>
    <w:qFormat/>
    <w:rsid w:val="00BD4850"/>
    <w:rPr>
      <w:rFonts w:eastAsia="Times New Roman"/>
      <w:lang w:eastAsia="en-US"/>
    </w:rPr>
  </w:style>
  <w:style w:type="numbering" w:customStyle="1" w:styleId="a">
    <w:name w:val="С числами"/>
    <w:rsid w:val="002C331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1993/12/12/n113822.ht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1374</Words>
  <Characters>7836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Ивановна</cp:lastModifiedBy>
  <cp:revision>4</cp:revision>
  <cp:lastPrinted>2018-09-10T07:19:00Z</cp:lastPrinted>
  <dcterms:created xsi:type="dcterms:W3CDTF">2018-09-07T09:32:00Z</dcterms:created>
  <dcterms:modified xsi:type="dcterms:W3CDTF">2018-09-10T07:23:00Z</dcterms:modified>
</cp:coreProperties>
</file>